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A25" w:rsidRDefault="00BE1A25">
      <w:r>
        <w:rPr>
          <w:noProof/>
          <w:lang w:eastAsia="ru-RU"/>
        </w:rPr>
        <w:drawing>
          <wp:inline distT="0" distB="0" distL="0" distR="0" wp14:anchorId="23210413" wp14:editId="44A61F8C">
            <wp:extent cx="6152515" cy="36449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25" w:rsidRDefault="00BE1A25" w:rsidP="00BE1A25">
      <w:pPr>
        <w:rPr>
          <w:lang w:val="en-US"/>
        </w:rPr>
      </w:pPr>
      <w:r>
        <w:rPr>
          <w:lang w:val="en-US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A1F7DAE" wp14:editId="4A0D4892">
            <wp:extent cx="5940425" cy="2511299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Default="00BE1A25" w:rsidP="00BE1A25">
      <w:pPr>
        <w:rPr>
          <w:lang w:val="en-US"/>
        </w:rPr>
      </w:pPr>
    </w:p>
    <w:p w:rsidR="00BE1A25" w:rsidRPr="00BE1A25" w:rsidRDefault="00BE1A25" w:rsidP="00B9557D">
      <w:pPr>
        <w:shd w:val="clear" w:color="auto" w:fill="DBE4F2"/>
        <w:spacing w:after="0" w:line="240" w:lineRule="auto"/>
        <w:textAlignment w:val="baseline"/>
        <w:outlineLvl w:val="0"/>
        <w:rPr>
          <w:rFonts w:ascii="inherit" w:eastAsia="Times New Roman" w:hAnsi="inherit" w:cs="Arial"/>
          <w:b/>
          <w:bCs/>
          <w:color w:val="000000"/>
          <w:kern w:val="36"/>
          <w:sz w:val="24"/>
          <w:szCs w:val="24"/>
          <w:lang w:val="en-US" w:eastAsia="ru-RU"/>
        </w:rPr>
      </w:pPr>
    </w:p>
    <w:p w:rsidR="00B9557D" w:rsidRDefault="00BE1A25" w:rsidP="00B9557D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</w:pPr>
      <w:r w:rsidRPr="00B9557D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ПРАВИЛА ПРОВЕДЕНИЯ</w:t>
      </w:r>
    </w:p>
    <w:p w:rsidR="00BE1A25" w:rsidRPr="00BE1A25" w:rsidRDefault="00BE1A25" w:rsidP="00B9557D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</w:pPr>
      <w:r w:rsidRPr="00B9557D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Международного молодежного конкурса социальной антикоррупционной рекламы «Вместе против коррупции!»</w:t>
      </w:r>
    </w:p>
    <w:p w:rsidR="00BE1A25" w:rsidRPr="00BE1A25" w:rsidRDefault="00BE1A25" w:rsidP="00BE1A25">
      <w:pPr>
        <w:numPr>
          <w:ilvl w:val="0"/>
          <w:numId w:val="2"/>
        </w:numPr>
        <w:shd w:val="clear" w:color="auto" w:fill="EFD3D1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8" w:history="1">
        <w:r w:rsidRPr="00BE1A25">
          <w:rPr>
            <w:rFonts w:ascii="inherit" w:eastAsia="Times New Roman" w:hAnsi="inherit" w:cs="Arial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Правила конкурса</w:t>
        </w:r>
      </w:hyperlink>
    </w:p>
    <w:p w:rsidR="00BE1A25" w:rsidRPr="00BE1A25" w:rsidRDefault="00BE1A25" w:rsidP="00BE1A25">
      <w:pPr>
        <w:numPr>
          <w:ilvl w:val="0"/>
          <w:numId w:val="2"/>
        </w:numPr>
        <w:shd w:val="clear" w:color="auto" w:fill="EFD3D1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9" w:history="1">
        <w:r w:rsidRPr="00BE1A25">
          <w:rPr>
            <w:rFonts w:ascii="inherit" w:eastAsia="Times New Roman" w:hAnsi="inherit" w:cs="Arial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val="en" w:eastAsia="ru-RU"/>
          </w:rPr>
          <w:t>Regulations of competition</w:t>
        </w:r>
      </w:hyperlink>
    </w:p>
    <w:p w:rsidR="00BE1A25" w:rsidRPr="00BE1A25" w:rsidRDefault="00BE1A25" w:rsidP="00BE1A25">
      <w:pPr>
        <w:numPr>
          <w:ilvl w:val="0"/>
          <w:numId w:val="2"/>
        </w:numPr>
        <w:shd w:val="clear" w:color="auto" w:fill="EFD3D1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0" w:history="1">
        <w:r w:rsidRPr="00BE1A25">
          <w:rPr>
            <w:rFonts w:ascii="MS Gothic" w:eastAsia="MS Gothic" w:hAnsi="MS Gothic" w:cs="MS Gothic" w:hint="eastAsia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eastAsia="zh-Hans"/>
          </w:rPr>
          <w:t>大</w:t>
        </w:r>
        <w:r w:rsidRPr="00BE1A25">
          <w:rPr>
            <w:rFonts w:ascii="SimSun" w:eastAsia="SimSun" w:hAnsi="SimSun" w:cs="SimSun" w:hint="eastAsia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eastAsia="zh-Hans"/>
          </w:rPr>
          <w:t>赛章程</w:t>
        </w:r>
      </w:hyperlink>
    </w:p>
    <w:p w:rsidR="00BE1A25" w:rsidRPr="00BE1A25" w:rsidRDefault="00BE1A25" w:rsidP="00BE1A25">
      <w:pPr>
        <w:numPr>
          <w:ilvl w:val="0"/>
          <w:numId w:val="2"/>
        </w:numPr>
        <w:shd w:val="clear" w:color="auto" w:fill="EFD3D1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1" w:history="1">
        <w:r w:rsidRPr="00BE1A25">
          <w:rPr>
            <w:rFonts w:ascii="inherit" w:eastAsia="Times New Roman" w:hAnsi="inherit" w:cs="Arial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val="es-ES" w:eastAsia="ru-RU"/>
          </w:rPr>
          <w:t>Reglas del concurso</w:t>
        </w:r>
      </w:hyperlink>
    </w:p>
    <w:p w:rsidR="00BE1A25" w:rsidRPr="00BE1A25" w:rsidRDefault="00BE1A25" w:rsidP="00BE1A25">
      <w:pPr>
        <w:numPr>
          <w:ilvl w:val="0"/>
          <w:numId w:val="2"/>
        </w:numPr>
        <w:shd w:val="clear" w:color="auto" w:fill="EFD3D1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2" w:history="1">
        <w:r w:rsidRPr="00BE1A25">
          <w:rPr>
            <w:rFonts w:ascii="inherit" w:eastAsia="Times New Roman" w:hAnsi="inherit" w:cs="Arial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val="fr-FR" w:eastAsia="ru-RU"/>
          </w:rPr>
          <w:t>Règlement de la Compétition</w:t>
        </w:r>
      </w:hyperlink>
    </w:p>
    <w:p w:rsidR="00BE1A25" w:rsidRPr="00BE1A25" w:rsidRDefault="00BE1A25" w:rsidP="00BE1A25">
      <w:pPr>
        <w:numPr>
          <w:ilvl w:val="0"/>
          <w:numId w:val="2"/>
        </w:numPr>
        <w:shd w:val="clear" w:color="auto" w:fill="EFD3D1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</w:pPr>
      <w:hyperlink r:id="rId13" w:history="1">
        <w:r w:rsidRPr="00BE1A25">
          <w:rPr>
            <w:rFonts w:ascii="inherit" w:eastAsia="Times New Roman" w:hAnsi="inherit" w:cs="Arial"/>
            <w:b/>
            <w:bCs/>
            <w:color w:val="000000"/>
            <w:spacing w:val="6"/>
            <w:sz w:val="24"/>
            <w:szCs w:val="24"/>
            <w:u w:val="single"/>
            <w:bdr w:val="none" w:sz="0" w:space="0" w:color="auto" w:frame="1"/>
            <w:lang w:val="en-US" w:eastAsia="ru-RU" w:bidi="ar"/>
          </w:rPr>
          <w:t>Regulations of competition in Arabic language</w:t>
        </w:r>
      </w:hyperlink>
    </w:p>
    <w:p w:rsidR="00BE1A25" w:rsidRPr="00BE1A25" w:rsidRDefault="00BE1A25" w:rsidP="00BE1A25">
      <w:pPr>
        <w:spacing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I. Общие положения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1.1. 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Настоящие правила (далее – Правила) определяют порядок проведения Международного молодежного конкурса социальной антикоррупционной рекламы «Вместе против коррупции!» (далее – Конкурс), в том числе условия участия в Конкурсе, критерии оценки работ, представленных для участия в Конкурсе (далее – Конкурсная работа) и определения финалистов (победителей и призеров) Конкурса.</w:t>
      </w:r>
      <w:proofErr w:type="gramEnd"/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1.2. Конкурс проводится Межгосударственным советом по противодействию коррупции (далее –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Межгоссовет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).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1.3. Головным организатором Конкурса является Генеральная прокуратура Российской Федерации (далее – Организатор).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Соорганизаторами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Конкурса выступают: Генеральная прокуратура Республики Армения, Генеральная прокуратура Республики Беларусь, Генеральная прокуратура Кыргызской Республики, Агентство Республики Казахстан по противодействию коррупции, Агентство по государственному финансовому контролю и борьбе с коррупцией Республики Таджикистан (далее –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Соорганизаторы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).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1.4. Участниками Конкурса могут быть граждане государств – участников Соглашения об образовании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Межгоссовета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, а также иных госуда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рств в в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озрасте от 14 до 25 лет (авторы – физические лица или творческие коллективы).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1.5. Номинации Конкурса: «Лучший плакат», «Лучший рисунок» и «Лучший видеоролик».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1.6. Тема: «Вместе против коррупции!».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1.7. Конкурсные работы (плакаты, рисунки и видеоролики) принимаются на сайте конкурса </w:t>
      </w:r>
      <w:hyperlink r:id="rId14" w:tgtFrame="_blank" w:history="1">
        <w:r w:rsidRPr="00BE1A25">
          <w:rPr>
            <w:rFonts w:ascii="inherit" w:eastAsia="Times New Roman" w:hAnsi="inherit" w:cs="Arial"/>
            <w:b/>
            <w:bCs/>
            <w:color w:val="3B8527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www.anticorruption.life</w:t>
        </w:r>
      </w:hyperlink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 на русском языке.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Допустимо представление конкурсных работ на национальном языке конкурсантов с обязательным переводом на русский язык (плакаты и рисунки должны содержать пояснительный текст, видеоролики – смонтированные субтитры).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1.8. Начало приема конкурсных работ – </w:t>
      </w: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4"/>
          <w:szCs w:val="24"/>
          <w:bdr w:val="none" w:sz="0" w:space="0" w:color="auto" w:frame="1"/>
          <w:lang w:eastAsia="ru-RU"/>
        </w:rPr>
        <w:t>01.05.2024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 (с 10:00 по московскому времени); окончание – </w:t>
      </w: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4"/>
          <w:szCs w:val="24"/>
          <w:bdr w:val="none" w:sz="0" w:space="0" w:color="auto" w:frame="1"/>
          <w:lang w:eastAsia="ru-RU"/>
        </w:rPr>
        <w:t>01.10.2024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 (в 18:00 по московскому времени).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1.9. Информирование целевой аудитории о Конкурсе, его целях, задачах и условиях проведения возлагается на Организатора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Соорганизаторов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Конкурса.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1.10. Участие в Конкурсе является бесплатным.</w:t>
      </w:r>
    </w:p>
    <w:p w:rsidR="00BE1A25" w:rsidRPr="00BE1A25" w:rsidRDefault="00BE1A25" w:rsidP="00BE1A25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lastRenderedPageBreak/>
        <w:t>II. Цели и задачи конкурса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2.1. Цели Конкурса – привлечение внимания подрастающего поколения к проблемам коррупции; поощрение и поддержка творческих инициатив детей и молодежи в создании социальной антикоррупционной рекламы; укрепление практики взаимодействия общества с органами власти в борьбе с коррупцией.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2.2. Задачи конкурса:</w:t>
      </w:r>
    </w:p>
    <w:p w:rsidR="00BE1A25" w:rsidRPr="00BE1A25" w:rsidRDefault="00BE1A25" w:rsidP="00BE1A25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антикоррупционное правовое просвещение населения; развитие в обществе нетерпимого отношения к коррупционным проявлениям;</w:t>
      </w:r>
    </w:p>
    <w:p w:rsidR="00BE1A25" w:rsidRPr="00BE1A25" w:rsidRDefault="00BE1A25" w:rsidP="00BE1A25">
      <w:pPr>
        <w:numPr>
          <w:ilvl w:val="0"/>
          <w:numId w:val="3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привлечение внимания общественности к вопросам противодействия коррупции;</w:t>
      </w:r>
    </w:p>
    <w:p w:rsidR="00BE1A25" w:rsidRPr="00BE1A25" w:rsidRDefault="00BE1A25" w:rsidP="00BE1A25">
      <w:pPr>
        <w:numPr>
          <w:ilvl w:val="0"/>
          <w:numId w:val="3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укрепление доверия к органам прокуратуры и иным государственным органам, осуществляющим деятельность в сфере борьбы с коррупцией; формирование позитивного отношения к проводимой ими работе.</w:t>
      </w:r>
    </w:p>
    <w:p w:rsidR="00BE1A25" w:rsidRPr="00BE1A25" w:rsidRDefault="00BE1A25" w:rsidP="00BE1A25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III. Регистрация участников конкурса. </w:t>
      </w: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br/>
        <w:t>Технические требования к конкурсным работам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3.1. Для участия в Конкурсе необходимо пройти регистрацию на официальном сайте конкурса, корректно заполнив регистрационную форму и подтвердить свое согласие с Правилами конкурса и обработку персональных данных. Конкурсные работы в электронном виде загружаются через личный кабинет на официальном сайте конкурса </w:t>
      </w:r>
      <w:hyperlink r:id="rId15" w:history="1">
        <w:r w:rsidRPr="00BE1A25">
          <w:rPr>
            <w:rFonts w:ascii="inherit" w:eastAsia="Times New Roman" w:hAnsi="inherit" w:cs="Arial"/>
            <w:color w:val="3B8527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www.anticorruption.life</w:t>
        </w:r>
      </w:hyperlink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. При этом зарегистрированный участник Конкурса должен являться непосредственным автором конкурсной работы либо одним из соавторов творческого коллектива. Для участников в возрасте от 10 до 17 лет регистрация может осуществляться самостоятельно либо законным представителем (попечителем).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В случае признания участника победителем или призером конкурса необходимо подтвердить указанные при регистрации персональные данные с предъявлением документов, удостоверяющих личность.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3.2. На Конкурс принимаются работы в номинациях: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3.2.1. «Лучший плакат» (выполненный графическим способом, с помощью компьютерных программ, планшетов,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стилсов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). Форматы предоставления файла: JPG, разрешение в соответствии с форматом А3 (297 x 420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mm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) с корректным соотношением сторон и разрешением 300dpi, физический размер одного файла не более 15 Мб. Количество: не более 10 файлов;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3.2.2. 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«Лучший рисунок» (выполненный ручным способом при помощи принадлежностей для рисования – карандаш, фломастер, мелки, краски,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скетчмаркеры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, сепия, сангина, уголь, тушь, капиллярные ручки).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Форматы предоставления файла: JPG, разрешение в соответствии с форматом А3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br/>
        <w:t xml:space="preserve">(297 x 420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mm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) с корректным соотношением сторон и разрешением 300dpi, физический размер одного файла не более 15 Мб. Количество: не более 10 файлов;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lastRenderedPageBreak/>
        <w:t>3.2.3. «Лучший видеоролик». Форматы предоставления файла: mp4, разрешение не более 1920 х 1080р, физический размер файла не более 300 Мб. Длительность – не более 120 сек. Звук: 16 бит, стерео. Количество – не более 10 файлов.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3.3. Конкурсные работы в обязательном порядке должны содержать авторское название, пояснительный текст (для плакатов и рисунков) или смонтированные субтитры (для видеороликов) на русском языке, информацию о фамилии, имени, возрасте автора (название творческого коллектива), государстве.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>
        <w:rPr>
          <w:rFonts w:ascii="inherit" w:eastAsia="Times New Roman" w:hAnsi="inherit" w:cs="Arial"/>
          <w:noProof/>
          <w:color w:val="000000"/>
          <w:spacing w:val="6"/>
          <w:sz w:val="24"/>
          <w:szCs w:val="24"/>
          <w:lang w:eastAsia="ru-RU"/>
        </w:rPr>
        <w:lastRenderedPageBreak/>
        <w:drawing>
          <wp:inline distT="0" distB="0" distL="0" distR="0">
            <wp:extent cx="5381625" cy="7677150"/>
            <wp:effectExtent l="0" t="0" r="9525" b="0"/>
            <wp:docPr id="5" name="Рисунок 5" descr="https://www.anticorruption.life/upload/rules-files/img/rules-sub-example-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anticorruption.life/upload/rules-files/img/rules-sub-example-rus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3.4. Ограничения.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Конкурсные работы не должны содержать:</w:t>
      </w:r>
    </w:p>
    <w:p w:rsidR="00BE1A25" w:rsidRPr="00BE1A25" w:rsidRDefault="00BE1A25" w:rsidP="00BE1A25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текст, сюжеты, действия сценических лиц и персонажей, противоречащие внутреннему праву государств, граждане которых являются участниками Конкурса, дискредитирующие работу органов государственной власти и органов местного самоуправления, а также оскорбляющие религиозные чувства граждан;</w:t>
      </w:r>
    </w:p>
    <w:p w:rsidR="00BE1A25" w:rsidRPr="00BE1A25" w:rsidRDefault="00BE1A25" w:rsidP="00BE1A25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lastRenderedPageBreak/>
        <w:t>нецензурную (ненормативную) лексику, слова и фразы, унижающие человеческое достоинство, экспрессивные и жаргонные выражения, скрытую рекламу, демонстрацию курения, огнестрельного и холодного оружия, взрывчатых веществ, процесса изготовления взрывных устройств, употребления алкогольных и наркотических средств, других психотропных веществ;</w:t>
      </w:r>
      <w:proofErr w:type="gramEnd"/>
    </w:p>
    <w:p w:rsidR="00BE1A25" w:rsidRPr="00BE1A25" w:rsidRDefault="00BE1A25" w:rsidP="00BE1A25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указания реальных адресов и телефонов, информации о религиозных движениях, в том числе религиозной символики, названий и упоминания о существующих марках товаров, товарных знаках, знаках обслуживания, о физических и юридических лицах;</w:t>
      </w:r>
    </w:p>
    <w:p w:rsidR="00BE1A25" w:rsidRPr="00BE1A25" w:rsidRDefault="00BE1A25" w:rsidP="00BE1A25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изображения фашистской атрибутики (свастики), сцен насилия, любого вида дискриминации, вандализма, крови, отражающих телесные страдания людей и животных, интимных сцен, виды обнаженных людей, иной информации, в любой форме унижающей достоинство человека или группы людей, а также информации, которая может причинить вред здоровью и (или) развитию детей, а также содержащей призывы к осуществлению экстремистской деятельности;</w:t>
      </w:r>
      <w:proofErr w:type="gramEnd"/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Не допускается:</w:t>
      </w:r>
    </w:p>
    <w:p w:rsidR="00BE1A25" w:rsidRPr="00BE1A25" w:rsidRDefault="00BE1A25" w:rsidP="00BE1A25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использование чужих текстов, видео- и аудиоматериалов (плагиат), за исключением случаев цитирования произведений в допустимых законодательством об авторском праве пределах;</w:t>
      </w:r>
    </w:p>
    <w:p w:rsidR="00BE1A25" w:rsidRPr="00BE1A25" w:rsidRDefault="00BE1A25" w:rsidP="00BE1A25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использование систем и технологий искусственного интеллекта;</w:t>
      </w:r>
    </w:p>
    <w:p w:rsidR="00BE1A25" w:rsidRPr="00BE1A25" w:rsidRDefault="00BE1A25" w:rsidP="00BE1A25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размещение одной и той же работы несколько раз;</w:t>
      </w:r>
    </w:p>
    <w:p w:rsidR="00BE1A25" w:rsidRPr="00BE1A25" w:rsidRDefault="00BE1A25" w:rsidP="00BE1A25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размещение работ предыдущих периодов;</w:t>
      </w:r>
    </w:p>
    <w:p w:rsidR="00BE1A25" w:rsidRPr="00BE1A25" w:rsidRDefault="00BE1A25" w:rsidP="00BE1A25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размещение фотографии работы с посторонними предметами на ней.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В случае несоблюдения данных ограничений работа не допускается к участию в Конкурсе.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3.5. Конкурсные работы не возвращаются и не рецензируются.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3.6. Организатор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Соорганизаторы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Конкурса, иные компетентные органы самостоятельно обеспечивают обратную связь с конкурсантами из своей страны для решения текущих организационных вопросов.</w:t>
      </w:r>
    </w:p>
    <w:p w:rsidR="00B9557D" w:rsidRPr="00B9557D" w:rsidRDefault="00BE1A25" w:rsidP="00B9557D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3.7. На официальном сайте Конкурса после 25.10.2024 для общего просмотра Организатором публикуются лучшие конкурсные работы, отобранные Национальными конкурсными комиссиями (иными компетентными органами) государств, граждане которых являются участниками Конкурса, в соответствии с пунктом 4.4 настоящих Правил.</w:t>
      </w:r>
    </w:p>
    <w:p w:rsidR="00BE1A25" w:rsidRPr="00BE1A25" w:rsidRDefault="00BE1A25" w:rsidP="00B9557D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IV.  Порядок и сроки проведения Конкурса. Проверка и оценка конкурсных работ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4.1. Конкурс проводится по трем номинациям в трех возрастных группах:</w:t>
      </w:r>
    </w:p>
    <w:p w:rsidR="00BE1A25" w:rsidRPr="00BE1A25" w:rsidRDefault="00BE1A25" w:rsidP="00BE1A25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от 10 до 15 лет;</w:t>
      </w:r>
    </w:p>
    <w:p w:rsidR="00BE1A25" w:rsidRPr="00BE1A25" w:rsidRDefault="00BE1A25" w:rsidP="00BE1A25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от 16 до 20 лет;</w:t>
      </w:r>
    </w:p>
    <w:p w:rsidR="00BE1A25" w:rsidRPr="00BE1A25" w:rsidRDefault="00BE1A25" w:rsidP="00BE1A25">
      <w:pPr>
        <w:numPr>
          <w:ilvl w:val="0"/>
          <w:numId w:val="6"/>
        </w:numPr>
        <w:spacing w:before="330"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от 21 до 25 лет.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4.2. Конкурсные работы проверяются по следующим критериям: соответствие заявленной тематике, техническим требованиям и ограничениям, указанным в разделе III настоящих Правил; отсутствие плагиата; аргументированность и глубина 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lastRenderedPageBreak/>
        <w:t>раскрытия темы; креативность, новизна идеи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br/>
        <w:t>и качество исполнения работы; точность и доходчивость языка и стиля изложения; потенциальная возможность дальнейшего использования в качестве социальной антикоррупционной рекламы.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Конкурс проводится в два этапа – полуфинал и финал.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4.3. Полуфинал Конкурса (01.05.2024 – 25.10.2024)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Проводится отдельно в каждом из государств, граждане которых являются участниками Конкурса.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Отбор конкурсных работ, подготовленных участниками из Республики Армения, Республики Беларусь, Республики Казахстан, Кыргызской Республики, Российской Федерации, Республики Таджикистан, в рамках полуфинала обеспечивается Национальными конкурсными комиссиями, формируемыми компетентными органами этих государств.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Отбор конкурсных работ, подготовленных участниками из других иностранных государств, в рамках полуфинала обеспечивается Национальными конкурсными комиссиями или компетентными органами этих государств (далее – иные компетентные органы). В случае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,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если указанными органами не будет изъявлено желание принять участие в проверке и оценке конкурсных работ,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br/>
        <w:t>их отбор в рамках полуфинала обеспечивается Национальной конкурсной комиссией Российской Федерации.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Национальные конкурсные комиссии (иные компетентные органы) определяют победителей (I места) и призеров (II и III места) полуфинала Конкурса в каждой номинации и возрастной группе.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Конкурсные работы, занявшие первые места по итогам полуфинала (победители), проходят в финал Конкурса.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4.4. 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Национальные конкурсные комиссии (иные компетентные органы) в срок до 25.10.2024 по электронной почте </w:t>
      </w:r>
      <w:hyperlink r:id="rId17" w:history="1">
        <w:proofErr w:type="gramEnd"/>
        <w:r w:rsidRPr="00BE1A25">
          <w:rPr>
            <w:rFonts w:ascii="inherit" w:eastAsia="Times New Roman" w:hAnsi="inherit" w:cs="Arial"/>
            <w:color w:val="3B8527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orgkonkurs@anticorruption.life</w:t>
        </w:r>
        <w:proofErr w:type="gramStart"/>
      </w:hyperlink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 направляют Организатору конкурсные работы с указанием регистрационных номеров (плакаты, рисунки и видеоролики), занявшие первые места по итогам национального отбора (во всех номинациях и возрастных группах) и сведения об их авторах (фамилия, имя, возраст, страна, контактный телефон и адрес электронной почты) – для организации их участия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в финале Конкурса.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В этот же срок Национальные конкурсные комиссии (иные компетентные органы) представляют Организатору «10 лучших плакатов», «10 лучших рисунков» и «10 лучших видеороликов» (с указанием регистрационных номеров и сведений об авторах) для их размещения на официальном сайте Конкурса </w:t>
      </w:r>
      <w:hyperlink r:id="rId18" w:history="1">
        <w:r w:rsidRPr="00BE1A25">
          <w:rPr>
            <w:rFonts w:ascii="inherit" w:eastAsia="Times New Roman" w:hAnsi="inherit" w:cs="Arial"/>
            <w:color w:val="3B8527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www.anticorruption.life</w:t>
        </w:r>
      </w:hyperlink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 (в разделе «Галерея работ») и использования при подготовке различных выставок (экспозиций).</w:t>
      </w:r>
      <w:proofErr w:type="gramEnd"/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Компетентные органы государств, не принимающих участие в проверке и оценке конкурсных работ от своей страны, обеспечивают их направление в Генеральную прокуратуру Российской Федерации не позднее 10.10.2024, для отбора Национальной конкурсной комиссией Российской Федерации в рамках полуфинала.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lastRenderedPageBreak/>
        <w:t>4.5. Финал Конкурса (25.10.2024 – 20.11.2024).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Победители (I места) и призеры (II и III места) финала Конкурса в каждой номинации и возрастной группе определяются Международным жюри путем голосования по 5-балльной шкале. Голосование членов Международного жюри производится дистанционно с использованием ресурса официального сайта Конкурса </w:t>
      </w:r>
      <w:hyperlink r:id="rId19" w:history="1">
        <w:r w:rsidRPr="00BE1A25">
          <w:rPr>
            <w:rFonts w:ascii="inherit" w:eastAsia="Times New Roman" w:hAnsi="inherit" w:cs="Arial"/>
            <w:color w:val="3B8527"/>
            <w:spacing w:val="6"/>
            <w:sz w:val="24"/>
            <w:szCs w:val="24"/>
            <w:u w:val="single"/>
            <w:bdr w:val="none" w:sz="0" w:space="0" w:color="auto" w:frame="1"/>
            <w:lang w:eastAsia="ru-RU"/>
          </w:rPr>
          <w:t>www.anticorruption.life</w:t>
        </w:r>
      </w:hyperlink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В отношении каждой из прошедших в финал конкурсных работ член Международного жюри от конкретного государства, граждане которого являются участниками Конкурса, может проголосовать единожды по балльной шкале от 1 до 5 (5 – это наивысший балл). При этом член Международного жюри не может голосовать за работы конкурсантов из своей страны.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4.6. Победители и призеры Конкурса в каждой номинации и возрастной группе определяются в зависимости от наивысшего среднего балла, набранного по результатам голосования Международного жюри.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В случае получения несколькими конкурсными работами равного количества баллов по итогам голосования Международного жюри, призовые места присуждаются авторам (творческим коллективам) каждой из этих конкурсных работ.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Национальные конкурсные комиссии (иные компетентные органы) и Международное жюри вправе не признать ни одного из участников Конкурса победителем в конкретной номинации, а также возрастной группе Конкурса, в случае, если их работы не соответствуют критериям, изложенным в пунктах 4.1 и 4.2 настоящих Правил.</w:t>
      </w:r>
    </w:p>
    <w:p w:rsidR="00BE1A25" w:rsidRPr="00BE1A25" w:rsidRDefault="00BE1A25" w:rsidP="00B9557D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br/>
      </w: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V. Национальные конкурсные комиссии, Международное жюри конкурса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5.1. Национальные конкурсные комиссии формируются самостоятельно Организатором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Соорганизаторами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Конкурса, а также компетентными органами государств, не являющихся участниками Соглашения об образовании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Межгоссовета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, для отбора работ и определения победителей полуфинала Конкурса.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Порядок проведения полуфинала Конкурса, формирования состава Национальных конкурсных комиссий, их деятельности и оценки конкурсных работ, награждения победителей полуфинала в каждой стране определяется государствами, граждане которых являются участниками Конкурса самостоятельно.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Рекомендуется включение в состав Национальных конкурсных комиссий представителей органов, осуществляющих деятельность в сфере противодействия коррупции; институтов гражданского общества; высших учебных заведений в области культуры и искусства; экспертов по социальной рекламе.</w:t>
      </w:r>
    </w:p>
    <w:p w:rsidR="00B9557D" w:rsidRPr="00B9557D" w:rsidRDefault="00BE1A25" w:rsidP="00B9557D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5.2. Организатор формирует Международное жюри Конкурса, в состав которого входят по одному кандидату от Генеральной прокуратуры Республики Армения; Генеральной прокуратуры Республики Беларусь; Генеральной прокуратуры Кыргызской Республики; Генеральной прокуратуры Российской Федерации; Агентства Республики Казахстан по противодействию коррупции; Агентства по государственному финансовому контролю и борьбе с коррупцией Республики Таджикистан. Кроме того, Организатор Конкурса может пригласить для участия в 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lastRenderedPageBreak/>
        <w:t xml:space="preserve">работе Международного жюри Конкурса экспертов высокого уровня (руководителей профильных международных организаций), представителей компетентных, прежде всего антикоррупционных, органов иностранных государств, не являющихся участниками Соглашения об образовании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Межгоссовета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.</w:t>
      </w:r>
    </w:p>
    <w:p w:rsidR="00BE1A25" w:rsidRPr="00BE1A25" w:rsidRDefault="00BE1A25" w:rsidP="00B9557D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VI. Подведение итогов конкурса.</w:t>
      </w: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br/>
        <w:t>Награждение победителей и призеров конкурса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6.1. Подведение итогов Конкурса, объявление победителей и призеров Конкурса приурочено к Международному дню борьбы с коррупцией (9 декабря).</w:t>
      </w:r>
    </w:p>
    <w:p w:rsidR="00BE1A25" w:rsidRPr="00BE1A25" w:rsidRDefault="00BE1A25" w:rsidP="00BE1A25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6.2. Победители и призеры Конкурса награждаются почетными медалями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br/>
        <w:t>с символикой конкурса, сувенирной продукцией, электронными сертификатами</w:t>
      </w: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br/>
        <w:t xml:space="preserve">(всем участникам Конкурса, соответствующим критериям, изложенным в пунктах 4.1 и 4.2 настоящих Правил), а также иными призами, определяемыми Организатором и, при необходимости,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Соорганизаторами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Конкурса.</w:t>
      </w:r>
    </w:p>
    <w:p w:rsidR="00BE1A25" w:rsidRPr="00BE1A25" w:rsidRDefault="00BE1A25" w:rsidP="00BE1A25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V</w:t>
      </w:r>
      <w:bookmarkStart w:id="0" w:name="_GoBack"/>
      <w:bookmarkEnd w:id="0"/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I. Подведение итогов конкурса. Награждение победителей и призеров конкурса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6.1. Подведение итогов Конкурса, объявление победителей и призеров конкурса приурочено к Международному дню борьбы с коррупцией (9 декабря).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6.2. Победители и призеры Конкурса награждаются почетными медалями с символикой конкурса, сувенирной продукцией, а также иными призами, определяемыми Организатором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Соорганизаторами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Конкурса.</w:t>
      </w:r>
    </w:p>
    <w:p w:rsidR="00BE1A25" w:rsidRPr="00BE1A25" w:rsidRDefault="00BE1A25" w:rsidP="00BE1A25">
      <w:pPr>
        <w:spacing w:before="660" w:after="36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</w:pPr>
      <w:r w:rsidRPr="00BE1A25">
        <w:rPr>
          <w:rFonts w:ascii="inherit" w:eastAsia="Times New Roman" w:hAnsi="inherit" w:cs="Arial"/>
          <w:b/>
          <w:bCs/>
          <w:color w:val="000000"/>
          <w:spacing w:val="6"/>
          <w:sz w:val="27"/>
          <w:szCs w:val="27"/>
          <w:lang w:eastAsia="ru-RU"/>
        </w:rPr>
        <w:t>VII. Дополнительные положения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7.1. Представляя работу на Конкурс, каждый участник гарантирует, что является правообладателем конкурсной работы и подтверждает, что не нарушает интеллектуальные права третьих лиц.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В случае использования в работе объектов интеллектуальных прав третьих лиц участник обязан указать автора и предоставить подтверждение наличия у участника права использования такого объекта интеллектуальных прав.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За нарушение интеллектуальных прав третьих лиц участники Конкурса несут ответственность, предусмотренную действующим международным и национальным законодательством.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7.2. Организатор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Соорганизаторы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, иные компетентные органы не несут ответственности за использование конкурсных работ, подготовленных конкурсантами с нарушением интеллектуальных прав третьих лиц.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7.3. Участник Конкурса разрешает Организатору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Соорганизаторам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, иным компетентным органам внесение в конкурсные работы необходимых изменений, снабжение конкурсных работ комментариями и пояснениями; использование конкурсных работ, в том числе без указания информации об их авторах.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lastRenderedPageBreak/>
        <w:t>7.4. Организатор и 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Соорганизаторы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, иные компетентные органы вправе использовать конкурсные работы (в том числе в качестве социальной антикоррупционной рекламы) в следующих формах: размещение на 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интернет-платформах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, в средствах массовой информации, социальных сетях, в рамках выставок, форумов и других мероприятий. Организатор и </w:t>
      </w:r>
      <w:proofErr w:type="spell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Соорганизаторы</w:t>
      </w:r>
      <w:proofErr w:type="spell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, иные компетентные органы не обязаны 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предоставлять отчеты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об использовании конкурсных работ.</w:t>
      </w:r>
    </w:p>
    <w:p w:rsidR="00BE1A25" w:rsidRPr="00BE1A25" w:rsidRDefault="00BE1A25" w:rsidP="00BE1A25">
      <w:pPr>
        <w:spacing w:before="330" w:after="0" w:line="240" w:lineRule="auto"/>
        <w:textAlignment w:val="baseline"/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</w:pPr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7.5. В случае обращения конкурсантов и представителей компетентных органов государств – участников Конкурса к Организаторам обратная связь с ними осуществляется на русском </w:t>
      </w:r>
      <w:proofErr w:type="gramStart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>языке</w:t>
      </w:r>
      <w:proofErr w:type="gramEnd"/>
      <w:r w:rsidRPr="00BE1A25">
        <w:rPr>
          <w:rFonts w:ascii="inherit" w:eastAsia="Times New Roman" w:hAnsi="inherit" w:cs="Arial"/>
          <w:color w:val="000000"/>
          <w:spacing w:val="6"/>
          <w:sz w:val="24"/>
          <w:szCs w:val="24"/>
          <w:lang w:eastAsia="ru-RU"/>
        </w:rPr>
        <w:t xml:space="preserve"> на официальном сайте Конкурса в разделе «Контакты».</w:t>
      </w:r>
    </w:p>
    <w:p w:rsidR="00BE1A25" w:rsidRPr="00BE1A25" w:rsidRDefault="00BE1A25" w:rsidP="00BE1A25"/>
    <w:p w:rsidR="00B61051" w:rsidRPr="00BE1A25" w:rsidRDefault="00B61051" w:rsidP="00BE1A25"/>
    <w:sectPr w:rsidR="00B61051" w:rsidRPr="00BE1A25" w:rsidSect="00BE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443D"/>
    <w:multiLevelType w:val="multilevel"/>
    <w:tmpl w:val="232C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60353"/>
    <w:multiLevelType w:val="multilevel"/>
    <w:tmpl w:val="671A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1147C9"/>
    <w:multiLevelType w:val="multilevel"/>
    <w:tmpl w:val="3F121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057D48"/>
    <w:multiLevelType w:val="multilevel"/>
    <w:tmpl w:val="FC5C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320C4E"/>
    <w:multiLevelType w:val="multilevel"/>
    <w:tmpl w:val="733C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DA3665"/>
    <w:multiLevelType w:val="multilevel"/>
    <w:tmpl w:val="E05A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25"/>
    <w:rsid w:val="00B61051"/>
    <w:rsid w:val="00B9557D"/>
    <w:rsid w:val="00B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1A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1A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E1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E1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1A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BE1A25"/>
    <w:rPr>
      <w:color w:val="0000FF"/>
      <w:u w:val="single"/>
    </w:rPr>
  </w:style>
  <w:style w:type="character" w:customStyle="1" w:styleId="rules-headertitle">
    <w:name w:val="rules-header__title"/>
    <w:basedOn w:val="a0"/>
    <w:rsid w:val="00BE1A25"/>
  </w:style>
  <w:style w:type="character" w:customStyle="1" w:styleId="rules-headersubtitle">
    <w:name w:val="rules-header__subtitle"/>
    <w:basedOn w:val="a0"/>
    <w:rsid w:val="00BE1A25"/>
  </w:style>
  <w:style w:type="paragraph" w:styleId="a6">
    <w:name w:val="Normal (Web)"/>
    <w:basedOn w:val="a"/>
    <w:uiPriority w:val="99"/>
    <w:semiHidden/>
    <w:unhideWhenUsed/>
    <w:rsid w:val="00BE1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1A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1A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E1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E1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1A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BE1A25"/>
    <w:rPr>
      <w:color w:val="0000FF"/>
      <w:u w:val="single"/>
    </w:rPr>
  </w:style>
  <w:style w:type="character" w:customStyle="1" w:styleId="rules-headertitle">
    <w:name w:val="rules-header__title"/>
    <w:basedOn w:val="a0"/>
    <w:rsid w:val="00BE1A25"/>
  </w:style>
  <w:style w:type="character" w:customStyle="1" w:styleId="rules-headersubtitle">
    <w:name w:val="rules-header__subtitle"/>
    <w:basedOn w:val="a0"/>
    <w:rsid w:val="00BE1A25"/>
  </w:style>
  <w:style w:type="paragraph" w:styleId="a6">
    <w:name w:val="Normal (Web)"/>
    <w:basedOn w:val="a"/>
    <w:uiPriority w:val="99"/>
    <w:semiHidden/>
    <w:unhideWhenUsed/>
    <w:rsid w:val="00BE1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392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4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97005">
                  <w:marLeft w:val="0"/>
                  <w:marRight w:val="0"/>
                  <w:marTop w:val="8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0404">
                      <w:marLeft w:val="0"/>
                      <w:marRight w:val="0"/>
                      <w:marTop w:val="8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974599">
                      <w:marLeft w:val="0"/>
                      <w:marRight w:val="0"/>
                      <w:marTop w:val="8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569961">
                      <w:marLeft w:val="0"/>
                      <w:marRight w:val="0"/>
                      <w:marTop w:val="8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243155">
                      <w:marLeft w:val="0"/>
                      <w:marRight w:val="0"/>
                      <w:marTop w:val="8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19473">
                      <w:marLeft w:val="0"/>
                      <w:marRight w:val="0"/>
                      <w:marTop w:val="3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05843">
                      <w:marLeft w:val="0"/>
                      <w:marRight w:val="0"/>
                      <w:marTop w:val="3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52082">
                      <w:marLeft w:val="0"/>
                      <w:marRight w:val="0"/>
                      <w:marTop w:val="3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corruption.life/upload/rules-files/pdf/ru-rules.pdf" TargetMode="External"/><Relationship Id="rId13" Type="http://schemas.openxmlformats.org/officeDocument/2006/relationships/hyperlink" Target="https://www.anticorruption.life/upload/rules-files/pdf/ara-rules.pdf" TargetMode="External"/><Relationship Id="rId18" Type="http://schemas.openxmlformats.org/officeDocument/2006/relationships/hyperlink" Target="http://www.anticorruption.life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www.anticorruption.life/upload/rules-files/pdf/fr-rules.pdf" TargetMode="External"/><Relationship Id="rId17" Type="http://schemas.openxmlformats.org/officeDocument/2006/relationships/hyperlink" Target="mailto:orgkonkurs@anticorruption.life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anticorruption.life/upload/rules-files/pdf/spa-rule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corruption.life/" TargetMode="External"/><Relationship Id="rId10" Type="http://schemas.openxmlformats.org/officeDocument/2006/relationships/hyperlink" Target="https://www.anticorruption.life/upload/rules-files/pdf/ch-rules.pdf" TargetMode="External"/><Relationship Id="rId19" Type="http://schemas.openxmlformats.org/officeDocument/2006/relationships/hyperlink" Target="http://www.anticorruption.lif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ticorruption.life/upload/rules-files/pdf/eng-rules.pdf" TargetMode="External"/><Relationship Id="rId14" Type="http://schemas.openxmlformats.org/officeDocument/2006/relationships/hyperlink" Target="https://www.anticorruption.lif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2571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1</cp:revision>
  <dcterms:created xsi:type="dcterms:W3CDTF">2024-09-11T05:49:00Z</dcterms:created>
  <dcterms:modified xsi:type="dcterms:W3CDTF">2024-09-11T06:06:00Z</dcterms:modified>
</cp:coreProperties>
</file>